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A20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A2027" w:rsidRDefault="0017172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A2027" w:rsidRDefault="0017172C">
            <w:pPr>
              <w:spacing w:after="0" w:line="240" w:lineRule="auto"/>
            </w:pPr>
            <w:r>
              <w:t>27966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A2027" w:rsidRDefault="0017172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A2027" w:rsidRDefault="0017172C">
            <w:pPr>
              <w:spacing w:after="0" w:line="240" w:lineRule="auto"/>
            </w:pPr>
            <w:r>
              <w:t>KNJIŽNICA I ČITAONICA FRAN GALOVIĆ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A2027" w:rsidRDefault="0017172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A2027" w:rsidRDefault="0017172C">
            <w:pPr>
              <w:spacing w:after="0" w:line="240" w:lineRule="auto"/>
            </w:pPr>
            <w:r>
              <w:t>21</w:t>
            </w:r>
          </w:p>
        </w:tc>
      </w:tr>
    </w:tbl>
    <w:p w:rsidR="008A2027" w:rsidRDefault="0017172C">
      <w:r>
        <w:br/>
      </w:r>
    </w:p>
    <w:p w:rsidR="008A2027" w:rsidRDefault="0017172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A2027" w:rsidRDefault="0017172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A2027" w:rsidRDefault="0017172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1.042.319,93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1.144.145,47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839.235,29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966.697,78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203.084,64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177.447,69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87,4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9.436,80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392.389,91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173.608,22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44,2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384.907,41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164.171,42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42,7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13.276,27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PRIHODI POSLOVANJA (skupina 6) u razdoblju od 1.1.-31.12.2025. godine ostvareni su  u iznosu od 1.144.145,47 eura što je za 9,8% više u odnosu na isto razdoblje prethodne godine. Najznačajnije povećanje prihoda bilježi se na tekućim pomoćima iz nenadležnog</w:t>
      </w:r>
      <w:r>
        <w:t xml:space="preserve"> proračuna sukladno odobrenim sredstvima Ministarstva kulture i medija RH i Koprivničko-križevačke županije za programe i projekte te na prihodima iz nadležnog proračuna za financiranje </w:t>
      </w:r>
      <w:r>
        <w:lastRenderedPageBreak/>
        <w:t>rashoda poslovanja za rashode za zaposlene i materijalne rashode. Najz</w:t>
      </w:r>
      <w:r>
        <w:t>načajnije smanjenje prihoda poslovanja bilježi se na prihodima iz nadležnog proračuna za financiranje rashoda za nabavu nefinancijske imovine te na kapitalnim pomoćima iz nenadležnog proračuna jer su u istom razdoblju prethodne godine zabilježeni prihodi z</w:t>
      </w:r>
      <w:r>
        <w:t>a nabavu bibliobusnog vozila, dok se sada ne bilježe. </w:t>
      </w:r>
    </w:p>
    <w:p w:rsidR="008A2027" w:rsidRDefault="0017172C">
      <w:r>
        <w:t>RASHODI POSLOVANJA (skupina 3) u razdoblju od 1.1.-31.12.2025. godine ostvareni su u iznosu od 966.697,78 eura što je za 15,1% više nego u istom razdoblju prethodne godine. Rezultat povećanja je porast</w:t>
      </w:r>
      <w:r>
        <w:t xml:space="preserve"> rashoda za zaposlene sukladno izmjenama Kolektivnog ugovora za zaposlene u ustanovama kulture Grada Koprivnice te porast materijalnih rashoda sukladno porastu cijena na tržištu.  </w:t>
      </w:r>
    </w:p>
    <w:p w:rsidR="008A2027" w:rsidRDefault="0017172C">
      <w:r>
        <w:t>PRIHODI OD PRODAJE NEFINANCIJSKE IMOVINE (skupina 7) u razdoblju od 1.1.-31</w:t>
      </w:r>
      <w:r>
        <w:t>.12.2025. godine ostvareni su u iznosu od 9.436,80 eura što je za 26,1% više u odnosu na prethodnu godinu. Rezultat porasta prihoda je prodaja rashodovanog bibliobusnog vozila.  </w:t>
      </w:r>
    </w:p>
    <w:p w:rsidR="008A2027" w:rsidRDefault="0017172C">
      <w:r>
        <w:t>RASHODI ZA NABAVU NEFINANCIJSKE IMOVINE (skupina 4) u razdoblju od 1.1.-31.12</w:t>
      </w:r>
      <w:r>
        <w:t>.2025. godine ostvareni su u iznosu od 173.608,22 eura, što je za 55,8% manje u odnosu na prethodnu godinu. U prethodnoj godini su se bilježili veći rashodi, a zbog nabave novog bibliobusnog vozila. U tekućem razdoblju bilježi se povećanje rashoda za izrad</w:t>
      </w:r>
      <w:r>
        <w:t>u vanjske ograde, za nabavu uredske opreme i namještaja, te za knjige zbog povećane nabave sukladno odobrenim sredstvima Ministarstva kulture i medija RH za nabavu knjižnične građe, zatim za zamjenu vanjske stolarije na zgradi knjižnice te za daljnji razvo</w:t>
      </w:r>
      <w:r>
        <w:t>j mobilne aplikacije.</w:t>
      </w:r>
    </w:p>
    <w:p w:rsidR="008A2027" w:rsidRDefault="0017172C">
      <w:r>
        <w:t>U odnosu na isto razdoblje prošle godine bilježi se povećanje prihoda i smanjenje rashoda. Bilježi se višak prihoda nad rashodima u iznosu od 13.276,27 eur nastao pretežito zbog ostvarenih vlastitih prihoda, prihoda ostvarenih od prod</w:t>
      </w:r>
      <w:r>
        <w:t xml:space="preserve">aje bibliobusa te ostvarenih većih prihoda za posebne namjene. Nakon korekcije rezultata za prikazani višak sredstava od AMPEU za Erasmus+, a sukladno Okružnici Ministarstva financija, preneseni manjak iz 2025. godine iznosi 13.419,69 eur pa ukupni manjak </w:t>
      </w:r>
      <w:r>
        <w:t>iznosi 143,42 eur.</w:t>
      </w:r>
    </w:p>
    <w:p w:rsidR="008A2027" w:rsidRDefault="0017172C">
      <w:r>
        <w:br/>
      </w:r>
    </w:p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8,8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Tekuće pomoći od izvanproračunskih korisnika bilježe se u iznosu od 13,29 eura što je za 91,2% manje u odnosu na isto razdoblje prethodne godine, a odnose se na pomoći HZZO-a za refundacije pregleda novozaposlenih osoba. 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82.148,18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114.979,37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Tekuće pomoći proračunskim korisnicima iz proračuna koji im nije nadležan ostvarene u iznosu od 114.979,37 eura bilježe veću realizaciju u odnosu na prethodnu godinu za 40%. Radi se o sredstvima Ministarstva kulture i medija RH za financiranje Županijske m</w:t>
      </w:r>
      <w:r>
        <w:t>atične razvojne službe i sredstvima za odobrene programe sukladno ugovorima, kao i o sredstvima Koprivničko-križevačke županije za financiranje Bibliobusne službe i sredstvima za odobrene programe sukladno ugovorima.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69,6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Kapitalne pomoći proračunskim korisnicima iz proračuna koji im nije nadležan bilježe manju realizaciju od 30,4% u odnosu na prethodnu godinu, a ostvarene su u iznosu od 123.800,00 eura. Iste se odnose na sredstva Ministarstva kulture i medija RH i Koprivni</w:t>
      </w:r>
      <w:r>
        <w:t>čko-križevačke županije za nabavu knjižnične građe te za kapitalna ulaganja. 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</w:t>
            </w:r>
            <w:r>
              <w:rPr>
                <w:sz w:val="18"/>
              </w:rPr>
              <w:t>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83,4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Pomoći temeljem prijenosa EU sredstava bilježe realizaciju u iznosu od 8.880,00 eura dobivenih za projekt Erasmus+.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26.521,17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29.970,25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Prihodi od upravnih i administrativnih pristojbi po posebnim propisima i naknadama bilježe povećanje u 2025. godini, a iznose 29.970,25 eura. U 2024. godini bilježili su se manji prihodi jer se zbog tehničke neispravnosti starog bibliobusnog vozila, a do d</w:t>
      </w:r>
      <w:r>
        <w:t>olaska novog bibliobusa nisu obilazila stajališta te su općinama bile smanjene naknade za financiranje pružanja usluga stanovnicima temeljem Ugovora o suradnji.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Prihodi od prodaje proizvoda i robe realizirani su u iznosu od 467,08 eura što je za 27,6% više u odnosu na 2024. godinu, a odnose se na prodaju vrećica, šalica, slikovnica i dr. sukladno cjeniku.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23,3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 xml:space="preserve">Prihodi od pruženih usluga ostvareni su u iznosu od 1.130,10 eura te se bilježi smanjenje u odnosu na prethodnu godinu. U 2024. godini ostvareni su bili prihodi od kotizacije za sudjelovanje na međunarodnoj nekonferenciji kcConnect koja se održala u 2024. </w:t>
      </w:r>
      <w:r>
        <w:t>godini dok se ista nije održala u tekućoj godini.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38,9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Tekuće donacije realizirane su u iznosu od 700,00 eura što je znatno manje od prošlogodišnje realizacije. U istom razdoblje prethodne godine bilježile su se veće tekuće donacije od trgovačkih društava i neprofitnih organizacija za program kcConnect i TEDx,</w:t>
      </w:r>
      <w:r>
        <w:t xml:space="preserve"> dok se u tekućem izvještajnom razdoblju bilježi donacija poduzeća Carlsberg d.d. za sudjelovanje na inozemnoj konferenciji te donacija poduzeća Inducte za program TEDx.          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Kapitalne donacije ostvarene su u iznosu od 6.126,77 eura, a odnose se na poklone knjižnične građe od fizičkih osoba.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650.720,18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829.738,30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Prihodi iz nadležnog proračuna za financiranje rashoda poslovanja bilježe povećanje u realizaciji za 27,5% te iznose 829.738,30 eura. Povećanje najvećim dijelom proizlazi iz povećanja plaća zaposlenicima sukladno Kolektivnom ugovoru za zaposlene u ustanova</w:t>
      </w:r>
      <w:r>
        <w:t>ma kulture Grada Koprivnice te materijalnih troškova sukladno stvarnim potrebama i kao posljedica povećanja cijena na tržištu.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71.936,60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28.340,31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39,4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Prihodi iz nadležnog proračuna za financiranje rashoda za nabavu nefinancijske imovine bilježe smanjenje u realizaciji za 60,6% te iznose 28.340,31 euro, a rezultat smanjenja prvenstveno je što se u tekućem razdoblju ne bilježe troškovi nabave bibliobusa d</w:t>
      </w:r>
      <w:r>
        <w:t>ok su se u istom razdoblju prošle godine bilježili.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Ostali prihodi ne bilježe realizaciju dok su se u 2024. godini odnosili na dobiveno sponzorstvo za program kcConnect od poduzeća Carlsberg u iznosu  od 2.000,00 eura. 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474.366,80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627.663,52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Plaće bilježe povećanje za 32,3% i realizaciju od 627.663,52 eura. Povećanje proizlazi sukladno povećanju osnovice za obračun plaće te izmjeni koeficijenata što je uređeno kolektivnim ugovorom.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120.223,48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58.290,08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48,5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lastRenderedPageBreak/>
        <w:t>Ostali rashodi za zaposlene bilježe smanjenje od 51,5% i realizaciju od 58.290,08 eura. Bilježi se smanjenje sukladno stvarno nastalim troškovima za isplatu jubilarne nagrade, inkluzivnog dodatka, dara djeci, smrtnog slučaja, otpremnine te naknada za bolov</w:t>
      </w:r>
      <w:r>
        <w:t>anja duža od 90 dana, regresu te naknadi za prehranu te godišnje nagrade. 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</w:t>
            </w:r>
            <w:r>
              <w:rPr>
                <w:sz w:val="18"/>
              </w:rPr>
              <w:t>za mirovinsko osiguranje za staž s povećanim trajanjem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255,3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DDoprinosi za mirovinsko osiguranje za staž s povećanim trajanjem bilježe povećanje od 155,3% i realizaciju od 1.990,20 eura. Knjižnica je s 1.7.2024. godine zaposlila osobu s utvrđenim invaliditetom koja po toj osnovi plaća doprinos za MIO za staž s poveć</w:t>
      </w:r>
      <w:r>
        <w:t>anim trajanjem.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73.203,00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91.546,92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Doprinosi na plaće bilježe povećanje od 26,4% i realizaciju od 93.537,12 eura. Povećanje proizlazi sukladno povećanju osnovice i koeficijenata za obračun plaće.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5.563,84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86,4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Službena putovanja bilježe smanjenje od 13,6% i realizaciju od 5.563,84 eura. Smanjen je broj inozemnih putovanja te su nastali manji troškovi na ostvarenim putovanjima.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12.906,66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11.518,40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89,2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Naknade za prijevoz, za rad na terenu i odvojeni život bilježe smanjenje od 10,8% i realizaciju od 11.518,40 eura. Bilježi se smanjenje troškova prijevoza na posao i s posla, jer smo u prethodnoj godini imali zaposlenu osobu iz Križevaca što je dovelo do p</w:t>
      </w:r>
      <w:r>
        <w:t>ovećanja troškova.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11.189,19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595,7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Stručno usavršavanje zaposlenika bilježi znatno povećanje i realizaciju u iznosu od 11.189,19 eura. Razlog povećanja je promjena evidentiranja rashoda vezanih uz aktivnosti mobilnosti Erasmus+ sukladno Okružnici Ministarstva financija  od 16.1.2026. godine</w:t>
      </w:r>
      <w:r>
        <w:t>, a koji se sada evidentiraju na trošku stručnog usavršavanja.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</w:t>
            </w:r>
            <w:r>
              <w:rPr>
                <w:sz w:val="18"/>
              </w:rPr>
              <w:t xml:space="preserve">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58,7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Ostale naknade troškova zaposlenima bilježe smanjenje od 41,3% i realizaciju u  iznosu od 211,25,13 eura zbog smanjenih troškova loko vožnje do spremišta i garaže u Kampusu. U istom razdoblju prethodne godine zabilježeni su veći troškovi zbog češćeg odlask</w:t>
      </w:r>
      <w:r>
        <w:t>a bibliobusne službe u  svoje spremište u Kampusu.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materijal i energiju </w:t>
            </w:r>
            <w:r>
              <w:rPr>
                <w:sz w:val="18"/>
              </w:rPr>
              <w:t>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36.375,24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51.691,95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Uredski materijal bilježi povećanje od 56,5% i realizaciju u iznosu od 30.179,65 eura, a rezultat povećanja je nabava RFID naljepnica.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19.283,02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30.179,65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156,5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Uredski materijal bilježi povećanje od 56,5% i realizaciju u iznosu od 30.179,65 eura, a rezultat povećanja je nabava RFID naljepnica.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14.825,88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18.974,55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Energija bilježi povećanje za 28% sukladno cijenama na tržištu, te sukladno povećanju potrošnje goriva obzirom da bibliobus u istom razdoblju prethodne godine nije obilazio teren, dok sada redovno obilazi.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209,1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Materijal i dijelovi za tekuće i investicijsko održavanje bilježe povećanje od 109,1% i realizaciju u iznosu od 154,94 eura sukladno stvarno nastalim troškovima za sitne popravke u Knjižnici.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Službena, radna i zaštitna odjeća i obuća bilježi povećanje za 27,4% i realizacija u iznosu od 334,44 eura. Rezultat povećanja je nabava radne odjeće za radnike u Bibliobusu.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Usluge telefona, pošte i prijevoza bilježe povećanje od 17,8% i realizaciju u iznosu od 4.800,15 eura sukladno povećanim troškovima fiksnih usluga zbog uvođenja optike.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10.856,02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Usluge tekućeg i investicijskog održavanja bilježe povećanje od 12,8% te su realizirani u iznosu od 10.856,02 eura, a odnose se na soboslikarsku sanaciju zidova u podrumu, te ostale servise i održavanja proizašle iz redovnog poslovanja.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15.050,25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302,1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Usluge promidžbe i informiranja bilježe znatno povećanje i realizaciju u iznosu od 15.050,25 sukladno potrebama za oglašavanjem i promidžbom ovogodišnjih programa književno-</w:t>
      </w:r>
      <w:r>
        <w:lastRenderedPageBreak/>
        <w:t>nakladničke djelatnosti te izradom promotivnih materijala za potrebe Knjižnice i pr</w:t>
      </w:r>
      <w:r>
        <w:t>ovođenja knjižničnih programa kao npr. Knjige za bebe, Olimpijada čitanja, Dođite u knjižnicu i dr...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Komunalne usluge bilježe povećanje od 18,9% u odnosu  na prethodnu godinu te realizaciju u iznosu od 3.173,19 eura. Rezultat povećanja su povećani troškovi pražnjenja septičke jame te deratizacije.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1431,5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Zdravstvene i veterinarske usluge bilježe znatno povećanje i realizaciju u iznosu od 3.222,42 eura, a odnose se na obvezne zdravstvene preglede zaposlenika. Rezultat povećanja je i promjena knjiženja troškova za sistematske preglede zaposlenika, koji su se</w:t>
      </w:r>
      <w:r>
        <w:t xml:space="preserve"> u prethodnoj godini knjižili na trošak Ostale rashodi za zaposlene.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Intelektualne i </w:t>
            </w:r>
            <w:r>
              <w:rPr>
                <w:sz w:val="18"/>
              </w:rPr>
              <w:t>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24.637,42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14.524,32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Intelektualne i osobne usluge bilježe smanjenje od 41% i realizaciju u iznosu od 14.524,32 eura. U 2024. godini su se bilježili povećani troškovi zbog održavanja KcConnecta te Galovićeve jeseni.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9.976,09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20.100,28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201,5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Računalne usluge bilježe povećanje od 101,5% u odnosu na prethodnu godinu te realizaciju u iznosu od 20.100,28 eura. Bilježe se rashodi za održavanje mobilne aplikacije, za knjižnični program Metel, ažuriranje web stranice za Olimpijadu čitanja te za nadog</w:t>
      </w:r>
      <w:r>
        <w:t>radnju i održavanje programa Riznice. Rezultat povećanja je provođenje programa Digitalizacije zbirke dr.sc. Radovana Kranjčeva.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9.294,40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45,2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Ostale usluge bilježe realizaciju u iznosu od 4.202,55 eura što predstavlja smanjenje od 54,8% u odnosu na 2024. Godinu. Rezultat smanjenih troškova za grafičke i tiskarske usluge je što se ove godine ne bilježi trošak homologacije  i oslikavanja bibliobus</w:t>
      </w:r>
      <w:r>
        <w:t>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58,9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Naknade troškova osobama izvan radnog odnosa bilježe smanjenje od 41.1% i realizaciju u iznosu od 1.716,70 eura. U istom razdoblju prethodne godine zabilježeni su troškovi putovanja za govornike na TEDx programu te na kcConnect-u, dok su u tekućoj godini z</w:t>
      </w:r>
      <w:r>
        <w:t>abilježeni troškovi govornika na Affiliate Space i TEDx-u.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Premije osiguranja bilježe povećanje od 25,9% te realizaciju u iznosu od 3.150,65 eura sukladno povećanju troška osiguranja novog bibliobusnog vozila.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16.488,16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22,2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Reprezentacija bilježi znatno smanjenje u odnosu na prethodnu godinu i realizaciju u iznosu od 3.655,28 eura. U 2024. godini su bili povećani troškovi za održavanje programa KcConnect, dok se u tekućoj godini održao skup pod nazivom Bibliokon.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38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Članarine i norme bilježe povećanje od 13,5% te realizaciju u iznosu od 450,00 eura, a kao posljedica povećanja cijena na tržištu.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9,8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Pristojbe i naknade bilježe smanjenje od 90,2% u odnosu na prethodnu godinu i realizaciju u iznosu od 127,44 eura. Od 1.7.2024. godine Knjižnica je zaposlila osobu s invaliditetom te time više ne plaća naknadu zbog nezapošljavanja osobe s invaliditetom, te</w:t>
      </w:r>
      <w:r>
        <w:t xml:space="preserve"> se u tekućoj godini knjiže troškovi za RTV pristojbu na trošak pristojba i naknada.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Ostali nespomenuti rashodi poslovanja bilježe smanjenje od 97% u odnosu na prethodnu godinu i realizaciju u iznosu od 72,52 eura. Razlog smanjenja je promjena evidentiranja rashoda vezanih uz aktivnosti mobilnosti Erasmus+ sukladno Okružnici Ministarstva f</w:t>
      </w:r>
      <w:r>
        <w:t>inancija od 16.1.2026. godine, a koji se sada evidentiraju na trošku stručnog usavršavanja.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Bankarske usluge bilježe povećanje od 11% te realizaciju u iznosu od 173,51 euro. Rashodi se odnose na bankarske provizije za usluge kartičnog plaćanja usluga u Knjižnici.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203.084,64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177.447,69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 tekućem razdoblju ostvareni su prihodi poslovanja u iznosu od 1.144.145,47 eura te rashodi poslovanja u iznosu od 966.697,78 eura. Rezultat je višak prihoda poslovanja u iznosu od 177.447,69 eura.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lastRenderedPageBreak/>
        <w:t>Prijevozna sredstva u cestovnom prometu bilježe prihod u iznosu od 2.260,00 eura od prodaje rashodovanog bibliobusnog vozila.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Knjige bilježe smanjenje za 10,9% u odnosu na prethodnu godinu, a prihod se ostvaruje od prodaje otpisanih knjiga.  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Ostali građevinski objekti ostvareni su u iznosu od 3.087,50 eura, a odnose na izradu vanjske ograde na ulazu u dvorište Knjižnice.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8.699,93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10.677,37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Uredska oprema i namještaj ostvareni su u iznosu od 10.677,37 eura. Bilježi se povećanje nabave računalne opreme za radnike Knjižnice te korisnike Knjižnice kao i nabava uredskog namještaja za opremanje Stručno-znanstvenog odjela.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</w:t>
            </w:r>
            <w:r>
              <w:rPr>
                <w:b/>
                <w:sz w:val="18"/>
              </w:rPr>
              <w:t>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15,5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Oprema za održavanje i zaštitu ostvarena je u iznosu od 638,07 eura, a odnosi se na nabavu usisavača za Knjižnicu i bibliobus.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75,8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Uređaji, strojevi i oprema  za ostale namjene ostvareni su u iznosu od 2.698,00 eura, a odnose se na nabavu 3D printera.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265.265,00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 prethodnom izvještajnom razdoblju bilježio se trošak nabave novog bibliobusnog vozila.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102.363,73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142.017,28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138,7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Knjige bilježe realizaciju u iznosu od 142.017,28 eura pto je 38,7% više u odnosu na isto razdoblje prethodne godine. Sukladno više odobrenim sredstvima MKM-a za nabavu knjižnične građe bilježi se i povećanje rashoda za nabavu.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Dodatna ulaganja na građevinskim objektima bilježe se u iznosu od 11.850,00 eura, a odnose se na zamjenu dijela vanjske stolarije.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za 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293,3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Dodatna ulaganja za ostalu nefinancijsku imovinu bilježe povećanje i realizaciju u iznosu od 2.640,00 eura. Radi se o daljnjem razvoju mobilne aplikacije mKnjižnica za korisnike knjižnice.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384.907,41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164.171,42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42,7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 izvještajnom razdoblju ostvareni su prihodi od nefinancijske imovine u iznosu od 9.436,80 eura te rashodi od nefinancijske imovine u iznosu od 173.608,22 eura što daje za rezultat manjak prihoda od nefinancijske imovine u iznosu od 164.171,42 eura.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13.276,27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 xml:space="preserve">U sveukupnom višku prihoda u iznosu od =13.276,27 eura bilježimo višak prihoda nad rashodima poslovanja u iznosu od 177.447,69 eura te manjak prihoda nad rashodima od nefinancijske imovine u iznosu od 164.171,42 eura. Uz preneseni manjak prihoda iz 2024. </w:t>
      </w:r>
      <w:r>
        <w:lastRenderedPageBreak/>
        <w:t>g</w:t>
      </w:r>
      <w:r>
        <w:t>odine u iznosu od 13.419,69 eura, ukupni manjak iznosi 143,42 eura (manjak prihoda nad rashodima poslovanja u iznosu od – 42.691,67 eura i višak prihoda nad rashodima od nefinancijske imovine u iznosu od 42.548,25 eura).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 xml:space="preserve">U odnosu na isto razdoblje u prošloj godini bilježi se povećanje prihoda i smanjenje rashoda. Bilježi se višak prihoda nad rashodima u iznosu od 13.276,27 eur nastao pretežito zbog ostvarenih vlastitih prihoda, prihoda ostvarenih od prodaje bibliobusa te </w:t>
      </w:r>
      <w:r>
        <w:t>ostvarenih većih prihoda za posebne namjene. Nakon korekcije rezultata za prikazani višak sredstava od AMPEU za Erasmus+, a sukladno Okružnici Ministarstva financija, preneseni manjak iz 2025. godine iznosi 13.419,69 eur pa ukupni manjak na dan 31.12.2025.</w:t>
      </w:r>
      <w:r>
        <w:t xml:space="preserve"> godine iznosi 143,42 eur.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3.537.863,94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984.104,14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27,8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Ukupna imovina Knjižnice i čitaonice „Fran Galović“ Koprivnica na dan 31.12.2025. godine evidentirana je u iznosu od 984.104,14 eura. Od ukupnog iznosa nefinancijska imovina evidentirana je u iznosu od 878.354,56 eura, a financijska imovina u iznosu od 105</w:t>
      </w:r>
      <w:r>
        <w:t>.749,58 eura. Rezultat smanjenja je 100% ispravak vrijednosti knjiga sukladno novom Pravilniku o proračunskom računovodstvu i računskom planu.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13.067,07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15.765,07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lastRenderedPageBreak/>
        <w:t>Uređaji, strojevi i oprema za ostale namjene bilježi se u iznosu od 15.765,07 eura što je za 20,6% više nego na dan 1.1.2025. godine. Radi se o nabavi 3D printera za potrebe poslovanja.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489.605,04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362.982,17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74,1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Prijevozna sredstva u cestovnom prometu bilježe smanjenje za 25,9% te njihovo stanje na dan 31.12.2025. iznosi 362.982,17 eura. U 2025. godini iz imovine je isknjiženo rashodovano bibliobusno vozilo.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</w:t>
            </w:r>
            <w:r>
              <w:rPr>
                <w:b/>
                <w:sz w:val="18"/>
              </w:rPr>
              <w:t>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156.871,38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102.844,94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65,6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Ispravak vrijednosti prijevoznih sredstava bilježi smanjenje od 34,4% kao rezultat isknjiženja rashodovanog bibliobusnog vozila.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</w:t>
            </w:r>
            <w:r>
              <w:rPr>
                <w:sz w:val="18"/>
              </w:rPr>
              <w:t>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2.527.806,18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Sukladno novom Pravilniku o proračunskom računovodstvu i računskom planu ravnatelj Knjižnice donio je odluku o 100% ispravku vrijednosti knjiga što je i provedeno na dan 31.12.2025. godine, dok se knjige do sada nisu amortizirale.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</w:t>
            </w:r>
            <w:r>
              <w:rPr>
                <w:b/>
                <w:sz w:val="18"/>
              </w:rPr>
              <w:t>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17.591,01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20.231,01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Ulaganja u računalne programe bilježi povećanje od 15% te iznose 20.231,01 eura a odnose se na daljni razvoj mobilne aplikacije.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Zaliha robe za </w:t>
            </w:r>
            <w:r>
              <w:rPr>
                <w:sz w:val="18"/>
              </w:rPr>
              <w:t>daljnju prodaju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Roba za daljnju prodaju evidentirana je u iznosu od 2.373,29 eura što je za 11,1% manje nego na dan 1.1.2024. godine, a rezultat je prodaje robe. 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42,5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Ostala potraživanja bilježe se u iznosu od 43,28 eura, a odnose se na refundaciju HZZO-a za bolovanje – njega djeteta.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Potraživanja za prihode od imovine bilježe se u iznosu od 11,04 eura, a radi se o potraživanju od Podravske banke d.d. zbog kartičnog plaćanja.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197,4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Potraživanja za upravne i administrativne pristojbe, pristojbe po posebnim propisima i naknade bilježe povećanje od 97,4%. Potraživanja se odnose na kontinuirane račune za sufinanciranje članarine Općine Novigrad Podravski, Općine Koprivnički Ivanec, Općin</w:t>
      </w:r>
      <w:r>
        <w:t>e Gola, Općine Drnje, Općine Koprivnički Bregi, Općine Legrad, Općine Đelekovec, Općine Molve, Općine Hlebine i Općine Peteranec za razdoblje 11-12/2025. s dospijećem u siječnju 2026. godine te na potraživanja prema Općini Molve za račune čija je valuta do</w:t>
      </w:r>
      <w:r>
        <w:t>spijeća bila do 31.12.2025. godine.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6.234,53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12.355,80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198,2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Obveze za nabavu proizvedene dugotrajne imovine bilježi znatno povećanje od 98,2% i bilježi se u iznosu od 12.355,80 eura. Najveći dio povećanja je zbog veće nabave knjižnične građe sukladno odobrenim sredstvima, dok je valuta plaćanja u 2026. godini.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47.879,07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Obuhvaća imovinu dobivenu na posudbu i korištenje te na ugovorena potraživanja za dodjelu bespovratnih sredstava za Erasmus+ program.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Izvanbilančni </w:t>
            </w:r>
            <w:r>
              <w:rPr>
                <w:sz w:val="18"/>
              </w:rPr>
              <w:t>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47.879,07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Obuhvaća imovinu dobivenu na posudbu i korištenje te na ugovorena potraživanja za dodjelu bespovratnih sredstava za Erasmus+ program.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1.231.625,20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1.140.306,00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92,6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Bilježi se smanjenje u odnosu na 2024. godinu koje se prvenstveno odnosi na rashode za nabavu novog bibliobusa iz 2024. godine, a koji se ne bilježe u 2025. dodini dok se bilježi porast rashoda za zaposlene sukladno izmjenama Kolektivnog ugovora za zaposle</w:t>
      </w:r>
      <w:r>
        <w:t>ne u ustanovama kulture Grada Koprivnice i materijalnih rashoda sukladno tržišnim cijenama te rashodima za nabavu knjiga. 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2.737.575,93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Promjene u vrijednosti imovine bilježe smanjenje proizvedene dugotrajne imovine u iznosu od 2.737.575,93 eura što je rezultat ispravka vrijednosti imovine. Sukladno članku 120. stavku 6. i 10. Pravilnika o proračunskom računovodstvu i Računskom planu (158/</w:t>
      </w:r>
      <w:r>
        <w:t>23) i Odluci ravnatelja Knjižnice (Urbroj: 1069/25) izvršio se ispravak vrijednosti knjiga.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lastRenderedPageBreak/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Promjene u obujmu imovine bilježe smanjenje proizvedene dugotrajne imovine u iznosu od 51,80 eura. Smanjenje se odnosi na rashodovanu imovinu po inventuri, smanjenje sadašnje vrijednosti.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A2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2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8A2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2027" w:rsidRDefault="001717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2027" w:rsidRDefault="008A2027">
      <w:pPr>
        <w:spacing w:after="0"/>
      </w:pPr>
    </w:p>
    <w:p w:rsidR="008A2027" w:rsidRDefault="0017172C">
      <w:r>
        <w:t>Stanje obveza na početku izvještajnog razdoblja je u iznosu od 97.419,06 eura dok je stanje istih na kraju izvještajnog razdoblja u iznosu 100.417,02 eura.</w:t>
      </w:r>
    </w:p>
    <w:p w:rsidR="008A2027" w:rsidRDefault="0017172C">
      <w:r>
        <w:t>Knjižnica na dan 31.12.2025. godine ne bilježi dospjele obveze.</w:t>
      </w:r>
    </w:p>
    <w:p w:rsidR="008A2027" w:rsidRDefault="0017172C">
      <w:r>
        <w:t>Ukupan iznos nedospjelih obveza od 1</w:t>
      </w:r>
      <w:r>
        <w:t>00.417,02 eura odnosi se na rashode poslovanja:</w:t>
      </w:r>
    </w:p>
    <w:p w:rsidR="008A2027" w:rsidRDefault="0017172C">
      <w:r>
        <w:t>·         obveze za zaposlene = 63.875,88 eura</w:t>
      </w:r>
    </w:p>
    <w:p w:rsidR="008A2027" w:rsidRDefault="0017172C">
      <w:r>
        <w:t>·         obveze za materijalne, financijske i ostale tekuće obveze =12.837,34 eura</w:t>
      </w:r>
    </w:p>
    <w:p w:rsidR="008A2027" w:rsidRDefault="0017172C">
      <w:r>
        <w:t>·         obveze za nabavu proizvedene dugotrajne imovine = 12.355,80 eura</w:t>
      </w:r>
    </w:p>
    <w:p w:rsidR="008A2027" w:rsidRDefault="0017172C">
      <w:r>
        <w:t xml:space="preserve">· </w:t>
      </w:r>
      <w:r>
        <w:t>        obveze za predujmove, depozite, jamčevne pologe = 11.348,00 eura.</w:t>
      </w:r>
    </w:p>
    <w:p w:rsidR="008A2027" w:rsidRDefault="008A2027"/>
    <w:p w:rsidR="008A2027" w:rsidRDefault="0017172C">
      <w:pPr>
        <w:keepNext/>
        <w:spacing w:line="240" w:lineRule="auto"/>
        <w:jc w:val="center"/>
      </w:pPr>
      <w:r>
        <w:rPr>
          <w:sz w:val="28"/>
        </w:rPr>
        <w:t>Bilješka 73.</w:t>
      </w:r>
    </w:p>
    <w:p w:rsidR="008A2027" w:rsidRDefault="0017172C">
      <w:pPr>
        <w:spacing w:line="240" w:lineRule="auto"/>
        <w:jc w:val="both"/>
      </w:pPr>
      <w:r>
        <w:rPr>
          <w:b/>
        </w:rPr>
        <w:t>EU izvještaj</w:t>
      </w:r>
    </w:p>
    <w:p w:rsidR="008A2027" w:rsidRDefault="0017172C">
      <w:r>
        <w:t>Na kraju izvještajnog razdoblja Knjižnica bilježi 8.880,00 eura prihoda iz izvora financiranja 510 – programi unije. Rashodi se bilježe u istom iznosu od 8</w:t>
      </w:r>
      <w:r>
        <w:t>.880,00 eura.</w:t>
      </w:r>
    </w:p>
    <w:p w:rsidR="008A2027" w:rsidRDefault="0017172C">
      <w:r>
        <w:t>            Knjižnica i čitaonica „Fran Galović“ Koprivnica je s Agencijom za  mobilnost i programe Europske unije u 2024. godini sklopila ugovor o dodjeli bespovratnih sredstava za program Erasmus+, Projekt 024-1-HR01-KA121-ADU-000224689 čij</w:t>
      </w:r>
      <w:r>
        <w:t>a je provedba trajala od 1.6.2024. godine do 31.8.2025. godine.</w:t>
      </w:r>
    </w:p>
    <w:p w:rsidR="008A2027" w:rsidRDefault="0017172C">
      <w:r>
        <w:lastRenderedPageBreak/>
        <w:t>U 2025. godini utrošeno je ukupno 8.880,00 eura za rashode vezane uz aktivnosti mobilnosti. Rashodi se evidentiraju na kto 3213 – Stručno osposobljavanje zasposlenih. U 2025. godini realiziran</w:t>
      </w:r>
      <w:r>
        <w:t>e su mobilnosti u Italiju, Nizozemsku i Švedsku.</w:t>
      </w:r>
    </w:p>
    <w:p w:rsidR="008A2027" w:rsidRDefault="0017172C">
      <w:r>
        <w:t>            U svibnju 2025. godini Knjižnica je s Agencijom za  mobilnost i programe Europske unije sklopila ugovor o dodjeli bespovratnih sredstava za program Erasmus+, Projekt 2025-1-HR01-KA121-ADU-0003152</w:t>
      </w:r>
      <w:r>
        <w:t>27 čija provedba traje od 1.6.2025. godine do 31.8.2026. godine. Ugovorom je Knjižnici dodijeljeno 14.185,00 eura što je knjiženo na izvanbilančnu evidenciju. Dana 3.6.2025. godine uplaćen je predujam u iznosu od 11.348,00 eura, dok rashodi za navedenu mob</w:t>
      </w:r>
      <w:r>
        <w:t>ilnost još nisu nastali do kraja izvještajnog razdoblja.</w:t>
      </w:r>
    </w:p>
    <w:p w:rsidR="008A2027" w:rsidRDefault="008A2027"/>
    <w:sectPr w:rsidR="008A2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27"/>
    <w:rsid w:val="0017172C"/>
    <w:rsid w:val="008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5747</Words>
  <Characters>32762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2026-02-02T11:10:00Z</dcterms:created>
  <dcterms:modified xsi:type="dcterms:W3CDTF">2026-02-02T11:10:00Z</dcterms:modified>
</cp:coreProperties>
</file>